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rFonts w:ascii="Calibri" w:hAnsi="Calibri" w:eastAsia="微软雅黑"/>
          <w:b/>
          <w:color w:val="1F3864"/>
          <w:sz w:val="34"/>
        </w:rPr>
        <w:t>多语言本地化 · 中英日韩对照 · 作品</w:t>
      </w:r>
    </w:p>
    <w:p>
      <w:pPr>
        <w:spacing w:after="280"/>
      </w:pPr>
      <w:r>
        <w:rPr>
          <w:rFonts w:ascii="Calibri" w:hAnsi="Calibri" w:eastAsia="微软雅黑"/>
          <w:b w:val="0"/>
          <w:color w:val="8A94A0"/>
          <w:sz w:val="18"/>
        </w:rPr>
        <w:t>七尺的极客空间 · 独立交付 · 表内数据为示例</w:t>
      </w:r>
    </w:p>
    <w:p>
      <w:pPr>
        <w:spacing w:after="120" w:line="348" w:lineRule="auto"/>
      </w:pPr>
      <w:r>
        <w:rPr>
          <w:rFonts w:ascii="Calibri" w:hAnsi="Calibri" w:eastAsia="微软雅黑"/>
          <w:b/>
          <w:color w:val="0F6F5C"/>
          <w:sz w:val="21"/>
        </w:rPr>
        <w:t>一句话说明：同一套内容翻成几国语言，不只是逐字翻，还按各国用户习惯把说法调顺，另附术语表保证全篇一致。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说明：本页术语和文案是示例数据，行业和产品按你的来。正式交付会附术语来源和译法说明。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一、为什么不是直接机翻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逐字翻出来的东西，语法对，人读着别扭。本地化要动三处：术语统一、语气贴合、长度适配。同一个词这次这样翻下次那样，用户会觉得不专业。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二、术语表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先把关键术语定死，全篇照这个来。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79"/>
        <w:gridCol w:w="2379"/>
        <w:gridCol w:w="2379"/>
        <w:gridCol w:w="2379"/>
      </w:tblGrid>
      <w:tr>
        <w:tc>
          <w:tcPr>
            <w:tcW w:type="dxa" w:w="2379"/>
            <w:shd w:val="clear" w:fill="1F386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/>
                <w:color w:val="FFFFFF"/>
                <w:sz w:val="19"/>
              </w:rPr>
              <w:t>中文</w:t>
            </w:r>
          </w:p>
        </w:tc>
        <w:tc>
          <w:tcPr>
            <w:tcW w:type="dxa" w:w="2379"/>
            <w:shd w:val="clear" w:fill="1F386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/>
                <w:color w:val="FFFFFF"/>
                <w:sz w:val="19"/>
              </w:rPr>
              <w:t>英文</w:t>
            </w:r>
          </w:p>
        </w:tc>
        <w:tc>
          <w:tcPr>
            <w:tcW w:type="dxa" w:w="2379"/>
            <w:shd w:val="clear" w:fill="1F386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/>
                <w:color w:val="FFFFFF"/>
                <w:sz w:val="19"/>
              </w:rPr>
              <w:t>日文</w:t>
            </w:r>
          </w:p>
        </w:tc>
        <w:tc>
          <w:tcPr>
            <w:tcW w:type="dxa" w:w="2379"/>
            <w:shd w:val="clear" w:fill="1F386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/>
                <w:color w:val="FFFFFF"/>
                <w:sz w:val="19"/>
              </w:rPr>
              <w:t>韩文</w:t>
            </w:r>
          </w:p>
        </w:tc>
      </w:tr>
      <w:tr>
        <w:tc>
          <w:tcPr>
            <w:tcW w:type="dxa" w:w="237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订单</w:t>
            </w:r>
          </w:p>
        </w:tc>
        <w:tc>
          <w:tcPr>
            <w:tcW w:type="dxa" w:w="237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Order</w:t>
            </w:r>
          </w:p>
        </w:tc>
        <w:tc>
          <w:tcPr>
            <w:tcW w:type="dxa" w:w="237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注文</w:t>
            </w:r>
          </w:p>
        </w:tc>
        <w:tc>
          <w:tcPr>
            <w:tcW w:type="dxa" w:w="237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주문</w:t>
            </w:r>
          </w:p>
        </w:tc>
      </w:tr>
      <w:tr>
        <w:tc>
          <w:tcPr>
            <w:tcW w:type="dxa" w:w="2379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结算</w:t>
            </w:r>
          </w:p>
        </w:tc>
        <w:tc>
          <w:tcPr>
            <w:tcW w:type="dxa" w:w="2379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Settlement</w:t>
            </w:r>
          </w:p>
        </w:tc>
        <w:tc>
          <w:tcPr>
            <w:tcW w:type="dxa" w:w="2379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決済</w:t>
            </w:r>
          </w:p>
        </w:tc>
        <w:tc>
          <w:tcPr>
            <w:tcW w:type="dxa" w:w="2379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정산</w:t>
            </w:r>
          </w:p>
        </w:tc>
      </w:tr>
      <w:tr>
        <w:tc>
          <w:tcPr>
            <w:tcW w:type="dxa" w:w="237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会员</w:t>
            </w:r>
          </w:p>
        </w:tc>
        <w:tc>
          <w:tcPr>
            <w:tcW w:type="dxa" w:w="237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Member</w:t>
            </w:r>
          </w:p>
        </w:tc>
        <w:tc>
          <w:tcPr>
            <w:tcW w:type="dxa" w:w="237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会員</w:t>
            </w:r>
          </w:p>
        </w:tc>
        <w:tc>
          <w:tcPr>
            <w:tcW w:type="dxa" w:w="237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회원</w:t>
            </w:r>
          </w:p>
        </w:tc>
      </w:tr>
      <w:tr>
        <w:tc>
          <w:tcPr>
            <w:tcW w:type="dxa" w:w="2379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优惠券</w:t>
            </w:r>
          </w:p>
        </w:tc>
        <w:tc>
          <w:tcPr>
            <w:tcW w:type="dxa" w:w="2379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Coupon</w:t>
            </w:r>
          </w:p>
        </w:tc>
        <w:tc>
          <w:tcPr>
            <w:tcW w:type="dxa" w:w="2379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クーポン</w:t>
            </w:r>
          </w:p>
        </w:tc>
        <w:tc>
          <w:tcPr>
            <w:tcW w:type="dxa" w:w="2379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쿠폰</w:t>
            </w:r>
          </w:p>
        </w:tc>
      </w:tr>
      <w:tr>
        <w:tc>
          <w:tcPr>
            <w:tcW w:type="dxa" w:w="237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售后</w:t>
            </w:r>
          </w:p>
        </w:tc>
        <w:tc>
          <w:tcPr>
            <w:tcW w:type="dxa" w:w="237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After-sales</w:t>
            </w:r>
          </w:p>
        </w:tc>
        <w:tc>
          <w:tcPr>
            <w:tcW w:type="dxa" w:w="237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アフターサービス</w:t>
            </w:r>
          </w:p>
        </w:tc>
        <w:tc>
          <w:tcPr>
            <w:tcW w:type="dxa" w:w="237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애프터서비스</w:t>
            </w:r>
          </w:p>
        </w:tc>
      </w:tr>
    </w:tbl>
    <w:p>
      <w:pPr>
        <w:spacing w:after="80"/>
      </w:pP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三、界面文案对照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按钮和提示语短，翻译更要注意长度，长了会撑破界面。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04"/>
        <w:gridCol w:w="1904"/>
        <w:gridCol w:w="1904"/>
        <w:gridCol w:w="1904"/>
        <w:gridCol w:w="1904"/>
      </w:tblGrid>
      <w:tr>
        <w:tc>
          <w:tcPr>
            <w:tcW w:type="dxa" w:w="1904"/>
            <w:shd w:val="clear" w:fill="1F386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/>
                <w:color w:val="FFFFFF"/>
                <w:sz w:val="19"/>
              </w:rPr>
              <w:t>场景</w:t>
            </w:r>
          </w:p>
        </w:tc>
        <w:tc>
          <w:tcPr>
            <w:tcW w:type="dxa" w:w="1904"/>
            <w:shd w:val="clear" w:fill="1F386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/>
                <w:color w:val="FFFFFF"/>
                <w:sz w:val="19"/>
              </w:rPr>
              <w:t>中文</w:t>
            </w:r>
          </w:p>
        </w:tc>
        <w:tc>
          <w:tcPr>
            <w:tcW w:type="dxa" w:w="1904"/>
            <w:shd w:val="clear" w:fill="1F386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/>
                <w:color w:val="FFFFFF"/>
                <w:sz w:val="19"/>
              </w:rPr>
              <w:t>英文</w:t>
            </w:r>
          </w:p>
        </w:tc>
        <w:tc>
          <w:tcPr>
            <w:tcW w:type="dxa" w:w="1904"/>
            <w:shd w:val="clear" w:fill="1F386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/>
                <w:color w:val="FFFFFF"/>
                <w:sz w:val="19"/>
              </w:rPr>
              <w:t>日文</w:t>
            </w:r>
          </w:p>
        </w:tc>
        <w:tc>
          <w:tcPr>
            <w:tcW w:type="dxa" w:w="1904"/>
            <w:shd w:val="clear" w:fill="1F386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/>
                <w:color w:val="FFFFFF"/>
                <w:sz w:val="19"/>
              </w:rPr>
              <w:t>韩文</w:t>
            </w:r>
          </w:p>
        </w:tc>
      </w:tr>
      <w:tr>
        <w:tc>
          <w:tcPr>
            <w:tcW w:type="dxa" w:w="190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下单</w:t>
            </w:r>
          </w:p>
        </w:tc>
        <w:tc>
          <w:tcPr>
            <w:tcW w:type="dxa" w:w="190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立即购买</w:t>
            </w:r>
          </w:p>
        </w:tc>
        <w:tc>
          <w:tcPr>
            <w:tcW w:type="dxa" w:w="190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Buy now</w:t>
            </w:r>
          </w:p>
        </w:tc>
        <w:tc>
          <w:tcPr>
            <w:tcW w:type="dxa" w:w="190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今すぐ購入</w:t>
            </w:r>
          </w:p>
        </w:tc>
        <w:tc>
          <w:tcPr>
            <w:tcW w:type="dxa" w:w="190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지금 구매</w:t>
            </w:r>
          </w:p>
        </w:tc>
      </w:tr>
      <w:tr>
        <w:tc>
          <w:tcPr>
            <w:tcW w:type="dxa" w:w="1904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提示</w:t>
            </w:r>
          </w:p>
        </w:tc>
        <w:tc>
          <w:tcPr>
            <w:tcW w:type="dxa" w:w="1904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已加入购物车</w:t>
            </w:r>
          </w:p>
        </w:tc>
        <w:tc>
          <w:tcPr>
            <w:tcW w:type="dxa" w:w="1904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Added to cart</w:t>
            </w:r>
          </w:p>
        </w:tc>
        <w:tc>
          <w:tcPr>
            <w:tcW w:type="dxa" w:w="1904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カートに追加しました</w:t>
            </w:r>
          </w:p>
        </w:tc>
        <w:tc>
          <w:tcPr>
            <w:tcW w:type="dxa" w:w="1904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장바구니에 담았습니다</w:t>
            </w:r>
          </w:p>
        </w:tc>
      </w:tr>
      <w:tr>
        <w:tc>
          <w:tcPr>
            <w:tcW w:type="dxa" w:w="190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报错</w:t>
            </w:r>
          </w:p>
        </w:tc>
        <w:tc>
          <w:tcPr>
            <w:tcW w:type="dxa" w:w="190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网络异常，请重试</w:t>
            </w:r>
          </w:p>
        </w:tc>
        <w:tc>
          <w:tcPr>
            <w:tcW w:type="dxa" w:w="190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Network error, please retry</w:t>
            </w:r>
          </w:p>
        </w:tc>
        <w:tc>
          <w:tcPr>
            <w:tcW w:type="dxa" w:w="190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通信エラー、再試行してください</w:t>
            </w:r>
          </w:p>
        </w:tc>
        <w:tc>
          <w:tcPr>
            <w:tcW w:type="dxa" w:w="190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네트워크 오류, 다시 시도해 주세요</w:t>
            </w:r>
          </w:p>
        </w:tc>
      </w:tr>
    </w:tbl>
    <w:p>
      <w:pPr>
        <w:spacing w:after="80"/>
      </w:pP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四、营销文案对照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宣传语不能直译，得按各国用户吃哪一套来改。英文偏直接，日文偏客气和细节，韩文偏轻快。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中文原句：省一半时间，少操一半心。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英文：Half the time, half the worry.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日文：時間は半分、手間も半分。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韩文：시간은 절반, 걱정도 절반。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五、本地化要注意的</w:t>
      </w:r>
    </w:p>
    <w:p>
      <w:pPr>
        <w:pStyle w:val="ListBullet"/>
        <w:spacing w:after="60" w:line="336" w:lineRule="auto"/>
      </w:pPr>
      <w:r>
        <w:rPr>
          <w:rFonts w:ascii="Calibri" w:hAnsi="Calibri" w:eastAsia="微软雅黑"/>
          <w:b w:val="0"/>
          <w:sz w:val="21"/>
        </w:rPr>
        <w:t>长度：德文、日文普遍比中文长，界面要留余量。</w:t>
      </w:r>
    </w:p>
    <w:p>
      <w:pPr>
        <w:pStyle w:val="ListBullet"/>
        <w:spacing w:after="60" w:line="336" w:lineRule="auto"/>
      </w:pPr>
      <w:r>
        <w:rPr>
          <w:rFonts w:ascii="Calibri" w:hAnsi="Calibri" w:eastAsia="微软雅黑"/>
          <w:b w:val="0"/>
          <w:sz w:val="21"/>
        </w:rPr>
        <w:t>语气：对欧美用户别太客气，对日韩用户别太随便。</w:t>
      </w:r>
    </w:p>
    <w:p>
      <w:pPr>
        <w:pStyle w:val="ListBullet"/>
        <w:spacing w:after="60" w:line="336" w:lineRule="auto"/>
      </w:pPr>
      <w:r>
        <w:rPr>
          <w:rFonts w:ascii="Calibri" w:hAnsi="Calibri" w:eastAsia="微软雅黑"/>
          <w:b w:val="0"/>
          <w:sz w:val="21"/>
        </w:rPr>
        <w:t>数字和日期：格式各国不同，别拿一种格式套全球。</w:t>
      </w:r>
    </w:p>
    <w:p>
      <w:pPr>
        <w:pStyle w:val="ListBullet"/>
        <w:spacing w:after="60" w:line="336" w:lineRule="auto"/>
      </w:pPr>
      <w:r>
        <w:rPr>
          <w:rFonts w:ascii="Calibri" w:hAnsi="Calibri" w:eastAsia="微软雅黑"/>
          <w:b w:val="0"/>
          <w:sz w:val="21"/>
        </w:rPr>
        <w:t>合规：涉及宣传的用词，各国限制不一样，先查当地规则再定稿。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六、交付形态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一份对照表，原文、译文、术语并排，方便校对。可另出分语言的单语版本，直接给对应的团队用。</w:t>
      </w:r>
    </w:p>
    <w:sectPr w:rsidR="00FC693F" w:rsidRPr="0006063C" w:rsidSect="00034616">
      <w:headerReference w:type="default" r:id="rId9"/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 w:eastAsia="微软雅黑"/>
        <w:b w:val="0"/>
        <w:color w:val="9AA3AE"/>
        <w:sz w:val="16"/>
      </w:rPr>
      <w:t>七尺的极客空间 · 作品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